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854" w:rsidRPr="00F075A0" w:rsidRDefault="00F075A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bookmarkStart w:id="0" w:name="contents"/>
      <w:bookmarkStart w:id="1" w:name="body"/>
      <w:r w:rsidRPr="00F075A0">
        <w:rPr>
          <w:rFonts w:ascii="Arial" w:hAnsi="Arial" w:cs="Arial"/>
          <w:b/>
          <w:color w:val="000000"/>
          <w:sz w:val="24"/>
          <w:szCs w:val="24"/>
          <w:u w:val="single"/>
        </w:rPr>
        <w:t>ANEXO II</w:t>
      </w:r>
    </w:p>
    <w:p w:rsidR="008F3854" w:rsidRPr="00F075A0" w:rsidRDefault="008F385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F3854" w:rsidRPr="00F075A0" w:rsidRDefault="008F3854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W w:w="4641" w:type="pct"/>
        <w:jc w:val="center"/>
        <w:tblCellSpacing w:w="0" w:type="auto"/>
        <w:tblLook w:val="04A0" w:firstRow="1" w:lastRow="0" w:firstColumn="1" w:lastColumn="0" w:noHBand="0" w:noVBand="1"/>
      </w:tblPr>
      <w:tblGrid>
        <w:gridCol w:w="5244"/>
        <w:gridCol w:w="1272"/>
        <w:gridCol w:w="1128"/>
        <w:gridCol w:w="1284"/>
      </w:tblGrid>
      <w:tr w:rsidR="00A90B93" w:rsidRPr="00F075A0" w:rsidTr="00A90B93">
        <w:trPr>
          <w:trHeight w:val="40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" w:name="_GoBack"/>
            <w:bookmarkEnd w:id="2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Un.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Aquisição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Qtd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Qtd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Minima</w:t>
            </w: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Abraçadeira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Material: nylon;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Medida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: 3,6 x 200 mm.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Pct. - 100 -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Abraçadeira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Material: nylon;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Medida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: 3,6 x 250 mm.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Pct. - 100 -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Abraçadeira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Material: nylon;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Medida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: 4,8 mm x 120 mm.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Pct. - 100 -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Abraçadeira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D; Material: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aço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Tamanho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1";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Requisito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com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cunha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Abraçadeira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D; Material: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aço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Tamanho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3/4";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Acompanha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parafuso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e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porca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103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Base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para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relé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fotoelétrico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; Material: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plástico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resistente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Características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adicionais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possuir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haste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metálica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Corrente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nominal: 10 A.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1.609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156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Canaleta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Material: PVC;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Requisito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com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divisória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Medida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: 20 x 10 x 2000 mm.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2.134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402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Chave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bóia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elétrica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Uso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caixa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d'água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; Material: PVC; Ampere : 30A superior.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Condulete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Material: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alumínio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múltiplo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x;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Diâmetro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do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encaixe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1”;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Acompanha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parafusos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Condulete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Material: PVC;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Formato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4x2; Bitola: 3/4";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Requisito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sem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rosca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Conector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grampo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Medida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5/8; Material: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cobre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Uso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para haste de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aterramento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Conjunto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arstop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Contém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tomada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20A (2P+T) +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20A bipolar;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Fixação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de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sobrepor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: bipolar - DIN; Ampere : 10.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: bipolar - DIN; Ampere : 16.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: bipolar - DIN; Ampere : 20.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: bipolar - DIN; Ampere : 25.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: bipolar - DIN; Ampere : 32.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: bipolar - DIN; Ampere : 40.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: bipolar - DIN; Ampere : 50.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: bipolar - DIN; Ampere : 6.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: bipolar - DIN; Ampere : 63.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monopolar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10.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monopolar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16.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monopolar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20.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monopolar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25.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44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monopolar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32.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monopolar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40.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monopolar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50.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monopolar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6.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monopolar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63.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monopolar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NEMA; Ampere : 15.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monopolar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NEMA; Ampere : 35.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</w:tr>
      <w:tr w:rsidR="00A90B93" w:rsidRPr="00F075A0" w:rsidTr="00A90B93">
        <w:trPr>
          <w:trHeight w:val="52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monopolar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NEMA; Ampere : 50.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tripolar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10.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tripolar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16.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tripolar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100.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tripolar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20.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tripolar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25.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tripolar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32.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tripolar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40.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tripolar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50.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tripolar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6.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tripolar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63.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tripolar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70.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tripolar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DIN; Ampere : 90.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tripolar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; Ampere : 150;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Modelo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caixa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moldada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tripolar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; Ampere : 200;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Modelo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caixa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moldada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A90B93" w:rsidRPr="00F075A0" w:rsidTr="00A90B93">
        <w:trPr>
          <w:trHeight w:val="435"/>
          <w:tblCellSpacing w:w="0" w:type="auto"/>
          <w:jc w:val="center"/>
        </w:trPr>
        <w:tc>
          <w:tcPr>
            <w:tcW w:w="524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Disjuntor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Tipo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tripolar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; Ampere : 400;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Modelo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caixa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moldada</w:t>
            </w:r>
            <w:proofErr w:type="spellEnd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 xml:space="preserve">1 - </w:t>
            </w:r>
            <w:proofErr w:type="spellStart"/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Unidade</w:t>
            </w:r>
            <w:proofErr w:type="spellEnd"/>
          </w:p>
        </w:tc>
        <w:tc>
          <w:tcPr>
            <w:tcW w:w="1128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75A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90B93" w:rsidRPr="00F075A0" w:rsidRDefault="00A90B9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8F3854" w:rsidRPr="00F075A0" w:rsidRDefault="008F3854">
      <w:pPr>
        <w:spacing w:after="0" w:line="360" w:lineRule="auto"/>
        <w:ind w:left="600"/>
        <w:rPr>
          <w:rFonts w:ascii="Arial" w:hAnsi="Arial" w:cs="Arial"/>
          <w:sz w:val="24"/>
          <w:szCs w:val="24"/>
        </w:rPr>
      </w:pPr>
    </w:p>
    <w:p w:rsidR="008F3854" w:rsidRPr="00F075A0" w:rsidRDefault="008F385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F3854" w:rsidRPr="00F075A0" w:rsidRDefault="008F385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F3854" w:rsidRPr="00F075A0" w:rsidRDefault="008F385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8F3854" w:rsidRPr="00F075A0" w:rsidRDefault="008F385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8F3854" w:rsidRPr="00F075A0" w:rsidRDefault="008F3854">
      <w:pPr>
        <w:spacing w:after="0"/>
        <w:rPr>
          <w:rFonts w:ascii="Arial" w:hAnsi="Arial" w:cs="Arial"/>
          <w:sz w:val="24"/>
          <w:szCs w:val="24"/>
        </w:rPr>
      </w:pPr>
    </w:p>
    <w:bookmarkEnd w:id="0"/>
    <w:bookmarkEnd w:id="1"/>
    <w:sectPr w:rsidR="008F3854" w:rsidRPr="00F075A0">
      <w:headerReference w:type="default" r:id="rId7"/>
      <w:footerReference w:type="default" r:id="rId8"/>
      <w:pgSz w:w="11907" w:h="16839" w:code="9"/>
      <w:pgMar w:top="3402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DF8" w:rsidRDefault="00F075A0">
      <w:pPr>
        <w:spacing w:after="0" w:line="240" w:lineRule="auto"/>
      </w:pPr>
      <w:r>
        <w:separator/>
      </w:r>
    </w:p>
  </w:endnote>
  <w:endnote w:type="continuationSeparator" w:id="0">
    <w:p w:rsidR="00515DF8" w:rsidRDefault="00F07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854" w:rsidRDefault="00F075A0">
    <w:pPr>
      <w:spacing w:after="0"/>
      <w:ind w:left="120"/>
      <w:jc w:val="right"/>
    </w:pPr>
    <w:r>
      <w:rPr>
        <w:rFonts w:ascii="Times New Roman" w:hAnsi="Times New Roman"/>
        <w:color w:val="000000"/>
      </w:rPr>
      <w:t xml:space="preserve"> </w:t>
    </w:r>
    <w:r>
      <w:fldChar w:fldCharType="begin"/>
    </w:r>
    <w:r>
      <w:instrText>PAGE</w:instrText>
    </w:r>
    <w:r>
      <w:fldChar w:fldCharType="separate"/>
    </w:r>
    <w:r w:rsidR="00A90B93">
      <w:rPr>
        <w:noProof/>
      </w:rPr>
      <w:t>5</w:t>
    </w:r>
    <w:r>
      <w:fldChar w:fldCharType="end"/>
    </w:r>
    <w:r>
      <w:rPr>
        <w:rFonts w:ascii="Times New Roman" w:hAnsi="Times New Roman"/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DF8" w:rsidRDefault="00F075A0">
      <w:pPr>
        <w:spacing w:after="0" w:line="240" w:lineRule="auto"/>
      </w:pPr>
      <w:r>
        <w:separator/>
      </w:r>
    </w:p>
  </w:footnote>
  <w:footnote w:type="continuationSeparator" w:id="0">
    <w:p w:rsidR="00515DF8" w:rsidRDefault="00F07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854" w:rsidRDefault="00F075A0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</w:t>
    </w:r>
    <w:r>
      <w:rPr>
        <w:noProof/>
        <w:lang w:val="pt-BR" w:eastAsia="pt-BR"/>
      </w:rPr>
      <w:drawing>
        <wp:inline distT="0" distB="0" distL="0" distR="0">
          <wp:extent cx="762000" cy="761856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2000" cy="761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/>
        <w:color w:val="000000"/>
      </w:rPr>
      <w:t xml:space="preserve"> </w:t>
    </w:r>
  </w:p>
  <w:p w:rsidR="008F3854" w:rsidRDefault="00F075A0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</w:t>
    </w:r>
    <w:proofErr w:type="spellStart"/>
    <w:r>
      <w:rPr>
        <w:rFonts w:ascii="Times New Roman" w:hAnsi="Times New Roman"/>
        <w:color w:val="000000"/>
      </w:rPr>
      <w:t>Prefeitura</w:t>
    </w:r>
    <w:proofErr w:type="spellEnd"/>
    <w:r>
      <w:rPr>
        <w:rFonts w:ascii="Times New Roman" w:hAnsi="Times New Roman"/>
        <w:color w:val="000000"/>
      </w:rPr>
      <w:t xml:space="preserve"> Municipal de Campo Grande </w:t>
    </w:r>
  </w:p>
  <w:p w:rsidR="008F3854" w:rsidRDefault="00F075A0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</w:t>
    </w:r>
    <w:proofErr w:type="spellStart"/>
    <w:r>
      <w:rPr>
        <w:rFonts w:ascii="Times New Roman" w:hAnsi="Times New Roman"/>
        <w:color w:val="000000"/>
      </w:rPr>
      <w:t>Secretaria-Executiva</w:t>
    </w:r>
    <w:proofErr w:type="spellEnd"/>
    <w:r>
      <w:rPr>
        <w:rFonts w:ascii="Times New Roman" w:hAnsi="Times New Roman"/>
        <w:color w:val="000000"/>
      </w:rPr>
      <w:t xml:space="preserve"> de </w:t>
    </w:r>
    <w:proofErr w:type="spellStart"/>
    <w:r>
      <w:rPr>
        <w:rFonts w:ascii="Times New Roman" w:hAnsi="Times New Roman"/>
        <w:color w:val="000000"/>
      </w:rPr>
      <w:t>Compras</w:t>
    </w:r>
    <w:proofErr w:type="spellEnd"/>
    <w:r>
      <w:rPr>
        <w:rFonts w:ascii="Times New Roman" w:hAnsi="Times New Roman"/>
        <w:color w:val="000000"/>
      </w:rPr>
      <w:t xml:space="preserve"> </w:t>
    </w:r>
    <w:proofErr w:type="spellStart"/>
    <w:r>
      <w:rPr>
        <w:rFonts w:ascii="Times New Roman" w:hAnsi="Times New Roman"/>
        <w:color w:val="000000"/>
      </w:rPr>
      <w:t>Governamentais</w:t>
    </w:r>
    <w:proofErr w:type="spellEnd"/>
    <w:r>
      <w:rPr>
        <w:rFonts w:ascii="Times New Roman" w:hAnsi="Times New Roman"/>
        <w:color w:val="000000"/>
      </w:rPr>
      <w:t xml:space="preserve"> </w:t>
    </w:r>
  </w:p>
  <w:p w:rsidR="008F3854" w:rsidRDefault="00F075A0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</w:t>
    </w:r>
    <w:proofErr w:type="spellStart"/>
    <w:r>
      <w:rPr>
        <w:rFonts w:ascii="Times New Roman" w:hAnsi="Times New Roman"/>
        <w:color w:val="000000"/>
      </w:rPr>
      <w:t>Outras</w:t>
    </w:r>
    <w:proofErr w:type="spellEnd"/>
    <w:r>
      <w:rPr>
        <w:rFonts w:ascii="Times New Roman" w:hAnsi="Times New Roman"/>
        <w:color w:val="000000"/>
      </w:rPr>
      <w:t xml:space="preserve"> </w:t>
    </w:r>
    <w:proofErr w:type="spellStart"/>
    <w:r>
      <w:rPr>
        <w:rFonts w:ascii="Times New Roman" w:hAnsi="Times New Roman"/>
        <w:color w:val="000000"/>
      </w:rPr>
      <w:t>Solicitações</w:t>
    </w:r>
    <w:proofErr w:type="spellEnd"/>
    <w:r>
      <w:rPr>
        <w:rFonts w:ascii="Times New Roman" w:hAnsi="Times New Roman"/>
        <w:color w:val="000000"/>
      </w:rPr>
      <w:t xml:space="preserve"> SECOMP/00015/TR/2024 </w:t>
    </w:r>
  </w:p>
  <w:p w:rsidR="008F3854" w:rsidRDefault="00F075A0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</w:t>
    </w:r>
    <w:r>
      <w:br/>
    </w:r>
    <w:r>
      <w:rPr>
        <w:rFonts w:ascii="Times New Roman" w:hAnsi="Times New Roman"/>
        <w:color w:val="000000"/>
      </w:rPr>
      <w:t xml:space="preserve"> </w:t>
    </w:r>
  </w:p>
  <w:p w:rsidR="008F3854" w:rsidRDefault="00F075A0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</w:t>
    </w:r>
    <w:r>
      <w:br/>
    </w:r>
    <w:r>
      <w:rPr>
        <w:rFonts w:ascii="Times New Roman" w:hAnsi="Times New Roman"/>
        <w:color w:val="000000"/>
      </w:rPr>
      <w:t xml:space="preserve"> </w:t>
    </w:r>
  </w:p>
  <w:p w:rsidR="008F3854" w:rsidRDefault="008F3854">
    <w:pPr>
      <w:spacing w:after="0"/>
      <w:ind w:left="1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854"/>
    <w:rsid w:val="00515DF8"/>
    <w:rsid w:val="008F3854"/>
    <w:rsid w:val="00A90B93"/>
    <w:rsid w:val="00F0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4857C9-F294-47AD-9A62-BC3C835EC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277"/>
  </w:style>
  <w:style w:type="paragraph" w:styleId="Ttulo1">
    <w:name w:val="heading 1"/>
    <w:basedOn w:val="Normal"/>
    <w:next w:val="Normal"/>
    <w:link w:val="Ttulo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41CD9"/>
  </w:style>
  <w:style w:type="character" w:customStyle="1" w:styleId="Ttulo1Char">
    <w:name w:val="Título 1 Char"/>
    <w:basedOn w:val="Fontepargpadro"/>
    <w:link w:val="Ttulo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har">
    <w:name w:val="Título 4 Char"/>
    <w:basedOn w:val="Fontepargpadro"/>
    <w:link w:val="Ttulo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Recuonormal">
    <w:name w:val="Normal Indent"/>
    <w:basedOn w:val="Normal"/>
    <w:uiPriority w:val="99"/>
    <w:unhideWhenUsed/>
    <w:rsid w:val="00841CD9"/>
    <w:pPr>
      <w:ind w:left="720"/>
    </w:pPr>
  </w:style>
  <w:style w:type="paragraph" w:styleId="Subttulo">
    <w:name w:val="Subtitle"/>
    <w:basedOn w:val="Normal"/>
    <w:next w:val="Normal"/>
    <w:link w:val="Subttulo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nfase">
    <w:name w:val="Emphasis"/>
    <w:basedOn w:val="Fontepargpadro"/>
    <w:uiPriority w:val="20"/>
    <w:qFormat/>
    <w:rsid w:val="00D1197D"/>
    <w:rPr>
      <w:i/>
      <w:iCs/>
    </w:rPr>
  </w:style>
  <w:style w:type="character" w:styleId="Hyperlink">
    <w:name w:val="Hyperlink"/>
    <w:basedOn w:val="Fontepargpadro"/>
    <w:uiPriority w:val="99"/>
    <w:unhideWhenUsed/>
    <w:rPr>
      <w:color w:val="0563C1" w:themeColor="hyperlink"/>
      <w:u w:val="single"/>
    </w:rPr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589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Yrina Ysabela P. di Mase Medeiros</dc:creator>
  <cp:lastModifiedBy>Yrina Ysabela P. di Mase Medeiros</cp:lastModifiedBy>
  <cp:revision>3</cp:revision>
  <dcterms:created xsi:type="dcterms:W3CDTF">2024-01-30T20:31:00Z</dcterms:created>
  <dcterms:modified xsi:type="dcterms:W3CDTF">2024-02-26T20:28:00Z</dcterms:modified>
</cp:coreProperties>
</file>